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4A" w:rsidRPr="000848CB" w:rsidRDefault="00303F4A" w:rsidP="002A3F64">
      <w:pPr>
        <w:rPr>
          <w:rFonts w:ascii="Arial" w:hAnsi="Arial" w:cs="Arial"/>
          <w:b/>
          <w:bCs/>
          <w:sz w:val="22"/>
          <w:szCs w:val="22"/>
        </w:rPr>
      </w:pPr>
      <w:r w:rsidRPr="000848CB">
        <w:rPr>
          <w:rFonts w:ascii="Arial" w:hAnsi="Arial" w:cs="Arial"/>
          <w:b/>
          <w:bCs/>
          <w:sz w:val="22"/>
          <w:szCs w:val="22"/>
        </w:rPr>
        <w:t>LIKOVNA KULTURA I LIKOVNA UMJETNOST</w:t>
      </w:r>
    </w:p>
    <w:p w:rsidR="00303F4A" w:rsidRPr="000848CB" w:rsidRDefault="00303F4A" w:rsidP="002A3F64">
      <w:pPr>
        <w:rPr>
          <w:rFonts w:ascii="Arial" w:hAnsi="Arial" w:cs="Arial"/>
          <w:sz w:val="22"/>
          <w:szCs w:val="22"/>
        </w:rPr>
      </w:pPr>
    </w:p>
    <w:p w:rsidR="00303F4A" w:rsidRPr="000848CB" w:rsidRDefault="00303F4A" w:rsidP="002A3F64">
      <w:pPr>
        <w:pStyle w:val="Tekstprvipasus"/>
        <w:spacing w:after="0"/>
        <w:ind w:firstLine="0"/>
        <w:rPr>
          <w:rFonts w:ascii="Arial" w:hAnsi="Arial" w:cs="Arial"/>
          <w:sz w:val="22"/>
          <w:szCs w:val="22"/>
        </w:rPr>
      </w:pPr>
      <w:r w:rsidRPr="000848CB">
        <w:rPr>
          <w:rFonts w:ascii="Arial" w:hAnsi="Arial" w:cs="Arial"/>
          <w:sz w:val="22"/>
          <w:szCs w:val="22"/>
        </w:rPr>
        <w:t xml:space="preserve">Uvjeti za upis: </w:t>
      </w:r>
    </w:p>
    <w:p w:rsidR="00303F4A" w:rsidRPr="000848CB" w:rsidRDefault="00303F4A" w:rsidP="002A3F64">
      <w:pPr>
        <w:rPr>
          <w:rFonts w:ascii="Arial" w:hAnsi="Arial" w:cs="Arial"/>
          <w:sz w:val="22"/>
          <w:szCs w:val="22"/>
          <w:lang w:eastAsia="en-US"/>
        </w:rPr>
      </w:pPr>
    </w:p>
    <w:p w:rsidR="00303F4A" w:rsidRPr="000848CB" w:rsidRDefault="00303F4A" w:rsidP="0029690F">
      <w:pPr>
        <w:pStyle w:val="Heading3"/>
        <w:shd w:val="clear" w:color="auto" w:fill="FFFFFF"/>
        <w:spacing w:before="0" w:beforeAutospacing="0" w:after="0" w:afterAutospacing="0"/>
        <w:rPr>
          <w:rFonts w:ascii="Arial" w:hAnsi="Arial" w:cs="Arial"/>
          <w:b w:val="0"/>
          <w:bCs w:val="0"/>
          <w:sz w:val="22"/>
          <w:szCs w:val="22"/>
          <w:lang w:val="hr-HR"/>
        </w:rPr>
      </w:pPr>
      <w:r w:rsidRPr="000848CB">
        <w:rPr>
          <w:rFonts w:ascii="Arial" w:hAnsi="Arial" w:cs="Arial"/>
          <w:b w:val="0"/>
          <w:bCs w:val="0"/>
          <w:sz w:val="22"/>
          <w:szCs w:val="22"/>
          <w:lang w:val="hr-HR"/>
        </w:rPr>
        <w:t xml:space="preserve">Na prijemni ispit diplomskog studija Likovne kulture i likovne umjetnosti na Umjetničkoj akademiji Sveučilišta u Splitu  mogu se prijaviti studenti koji su završili preddiplomski studij Likovne kulture i likovnih umjetnosti  te studenti koji su završili srodan  preddiplomski  (ili integrirani) sveučilišni  studij  u  Republici  Hrvatskoj (Umjetnička  akademija Sveučilišta  u  Splitu,  Akademija  likovnih  umjetnosti  Sveučilišta  u  Zagrebu,  Akademija  primijenjenih  umjetnosti  Sveučilišta  u  Rijeci, Umjetnička  akademija  Sveučilišta  J.J.Strossmayer  u  Osijeku,  Tekstilno-tehnološki fakultet, Arhitektonski fakultet, Učiteljski  fakultet, Grafički  fakultet, </w:t>
      </w:r>
      <w:hyperlink r:id="rId4" w:history="1">
        <w:r w:rsidRPr="000848CB">
          <w:rPr>
            <w:rFonts w:ascii="Arial" w:hAnsi="Arial" w:cs="Arial"/>
            <w:b w:val="0"/>
            <w:bCs w:val="0"/>
            <w:sz w:val="22"/>
            <w:szCs w:val="22"/>
            <w:lang w:val="hr-HR"/>
          </w:rPr>
          <w:t>Filozofski fakultet - Odsjek za povijest umjetnosti</w:t>
        </w:r>
      </w:hyperlink>
      <w:r w:rsidRPr="000848CB">
        <w:rPr>
          <w:rFonts w:ascii="Arial" w:hAnsi="Arial" w:cs="Arial"/>
          <w:b w:val="0"/>
          <w:bCs w:val="0"/>
          <w:sz w:val="22"/>
          <w:szCs w:val="22"/>
          <w:lang w:val="hr-HR"/>
        </w:rPr>
        <w:t>, ) ili u inozemstvu.</w:t>
      </w:r>
    </w:p>
    <w:p w:rsidR="00303F4A" w:rsidRPr="000848CB" w:rsidRDefault="00303F4A" w:rsidP="002A3F64">
      <w:pPr>
        <w:rPr>
          <w:rFonts w:ascii="Arial" w:hAnsi="Arial" w:cs="Arial"/>
          <w:sz w:val="22"/>
          <w:szCs w:val="22"/>
        </w:rPr>
      </w:pPr>
    </w:p>
    <w:p w:rsidR="00303F4A" w:rsidRPr="000848CB" w:rsidRDefault="00303F4A" w:rsidP="002A3F64">
      <w:pPr>
        <w:rPr>
          <w:rFonts w:ascii="Arial" w:hAnsi="Arial" w:cs="Arial"/>
          <w:sz w:val="22"/>
          <w:szCs w:val="22"/>
        </w:rPr>
      </w:pPr>
      <w:r w:rsidRPr="000848CB">
        <w:rPr>
          <w:rFonts w:ascii="Arial" w:hAnsi="Arial" w:cs="Arial"/>
          <w:sz w:val="22"/>
          <w:szCs w:val="22"/>
        </w:rPr>
        <w:t xml:space="preserve">Pismeni test iz povijesti umjetnosti je eliminacijski i ne ulazi u ukupan zbir bodova, a polažu ga svi pristupnici sa srodnih studija. </w:t>
      </w:r>
    </w:p>
    <w:p w:rsidR="00303F4A" w:rsidRPr="000848CB" w:rsidRDefault="00303F4A" w:rsidP="002A3F64">
      <w:pPr>
        <w:rPr>
          <w:rFonts w:ascii="Arial" w:hAnsi="Arial" w:cs="Arial"/>
          <w:sz w:val="22"/>
          <w:szCs w:val="22"/>
        </w:rPr>
      </w:pPr>
      <w:r w:rsidRPr="000848CB">
        <w:rPr>
          <w:rFonts w:ascii="Arial" w:hAnsi="Arial" w:cs="Arial"/>
          <w:sz w:val="22"/>
          <w:szCs w:val="22"/>
        </w:rPr>
        <w:t xml:space="preserve">Nakon objave liste pristupnika koji su prošli test iz povijesti umjetnosti, isti pristupaju prijemnom ispitu. </w:t>
      </w:r>
    </w:p>
    <w:p w:rsidR="00303F4A" w:rsidRPr="000848CB" w:rsidRDefault="00303F4A" w:rsidP="002A3F64">
      <w:pPr>
        <w:rPr>
          <w:rFonts w:ascii="Arial" w:hAnsi="Arial" w:cs="Arial"/>
          <w:sz w:val="22"/>
          <w:szCs w:val="22"/>
        </w:rPr>
      </w:pPr>
    </w:p>
    <w:p w:rsidR="00303F4A" w:rsidRPr="000848CB" w:rsidRDefault="00303F4A" w:rsidP="002A3F64">
      <w:pPr>
        <w:rPr>
          <w:rFonts w:ascii="Arial" w:hAnsi="Arial" w:cs="Arial"/>
          <w:sz w:val="22"/>
          <w:szCs w:val="22"/>
        </w:rPr>
      </w:pPr>
      <w:r w:rsidRPr="000848CB">
        <w:rPr>
          <w:rFonts w:ascii="Arial" w:hAnsi="Arial" w:cs="Arial"/>
          <w:sz w:val="22"/>
          <w:szCs w:val="22"/>
        </w:rPr>
        <w:t>Prijemni ispit diplomskog studija Likovne kulture i likovne umjetnosti na Umjetničkoj akademiji Sveučilišta u Splitu sastoji se od: pregleda mape radova, pisanja eseja i razgovora.</w:t>
      </w:r>
    </w:p>
    <w:p w:rsidR="00303F4A" w:rsidRPr="000848CB" w:rsidRDefault="00303F4A" w:rsidP="002A3F64">
      <w:pPr>
        <w:rPr>
          <w:rFonts w:ascii="Arial" w:hAnsi="Arial" w:cs="Arial"/>
          <w:sz w:val="22"/>
          <w:szCs w:val="22"/>
        </w:rPr>
      </w:pPr>
    </w:p>
    <w:p w:rsidR="00303F4A" w:rsidRPr="000848CB" w:rsidRDefault="00303F4A" w:rsidP="002A3F64">
      <w:pPr>
        <w:pStyle w:val="Default"/>
        <w:jc w:val="both"/>
        <w:rPr>
          <w:color w:val="auto"/>
          <w:sz w:val="22"/>
          <w:szCs w:val="22"/>
        </w:rPr>
      </w:pPr>
      <w:r w:rsidRPr="000848CB">
        <w:rPr>
          <w:color w:val="auto"/>
          <w:sz w:val="22"/>
          <w:szCs w:val="22"/>
        </w:rPr>
        <w:t>- Mapa radova sastoji se od radova kandidata/kandidatkinje iz područja likovnih umjetnosti; slikarstva, grafike, kiparstva, filma i videa. Mapa mora sadržavati najmanje dvadeset pet (25) radova te CD ili DVD sa kvalitetnim snimkama istih radova, te onih radova koje zbog svoje veličine ili vrste materijala nije bilo moguće prezentirati u originalu.</w:t>
      </w:r>
    </w:p>
    <w:p w:rsidR="00303F4A" w:rsidRPr="000848CB" w:rsidRDefault="00303F4A" w:rsidP="002A3F64">
      <w:pPr>
        <w:pStyle w:val="Default"/>
        <w:jc w:val="both"/>
        <w:rPr>
          <w:color w:val="auto"/>
          <w:sz w:val="22"/>
          <w:szCs w:val="22"/>
        </w:rPr>
      </w:pPr>
    </w:p>
    <w:p w:rsidR="00303F4A" w:rsidRPr="000848CB" w:rsidRDefault="00303F4A" w:rsidP="002A3F64">
      <w:pPr>
        <w:jc w:val="both"/>
        <w:rPr>
          <w:rFonts w:ascii="Arial" w:hAnsi="Arial" w:cs="Arial"/>
          <w:sz w:val="22"/>
          <w:szCs w:val="22"/>
        </w:rPr>
      </w:pPr>
      <w:r w:rsidRPr="000848CB">
        <w:rPr>
          <w:rFonts w:ascii="Arial" w:hAnsi="Arial" w:cs="Arial"/>
          <w:sz w:val="22"/>
          <w:szCs w:val="22"/>
        </w:rPr>
        <w:t>- Pisani esej, na odabranu temu ili teme, pruža uvid povjerenstvu o osposobljenosti kandidata za kompetentno izražavanje i elaboriranje teme iz područja likovnih umjetnosti te njene moguće uloge i primjene u širem kontekstu.</w:t>
      </w:r>
    </w:p>
    <w:p w:rsidR="00303F4A" w:rsidRPr="000848CB" w:rsidRDefault="00303F4A" w:rsidP="002A3F64">
      <w:pPr>
        <w:jc w:val="both"/>
        <w:rPr>
          <w:rFonts w:ascii="Arial" w:hAnsi="Arial" w:cs="Arial"/>
          <w:sz w:val="22"/>
          <w:szCs w:val="22"/>
        </w:rPr>
      </w:pPr>
    </w:p>
    <w:p w:rsidR="00303F4A" w:rsidRPr="000848CB" w:rsidRDefault="00303F4A" w:rsidP="002A3F64">
      <w:r w:rsidRPr="000848CB">
        <w:rPr>
          <w:rFonts w:ascii="Arial" w:hAnsi="Arial" w:cs="Arial"/>
          <w:sz w:val="22"/>
          <w:szCs w:val="22"/>
        </w:rPr>
        <w:t>- Razgovorom se propituje motivacija za studij, razgovara se o radovima predanim u mapi, eseju, analiziraju radovi iz područja likovnih umjetnosti.</w:t>
      </w:r>
    </w:p>
    <w:p w:rsidR="00303F4A" w:rsidRPr="000848CB" w:rsidRDefault="00303F4A" w:rsidP="002A3F6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701"/>
        <w:gridCol w:w="1275"/>
        <w:gridCol w:w="1418"/>
        <w:gridCol w:w="1701"/>
        <w:gridCol w:w="1525"/>
      </w:tblGrid>
      <w:tr w:rsidR="00303F4A" w:rsidRPr="000848CB">
        <w:tc>
          <w:tcPr>
            <w:tcW w:w="9288" w:type="dxa"/>
            <w:gridSpan w:val="6"/>
          </w:tcPr>
          <w:p w:rsidR="00303F4A" w:rsidRPr="000848CB" w:rsidRDefault="00303F4A" w:rsidP="00A50FA5">
            <w:pPr>
              <w:autoSpaceDE w:val="0"/>
              <w:autoSpaceDN w:val="0"/>
              <w:adjustRightInd w:val="0"/>
              <w:rPr>
                <w:rFonts w:ascii="Arial" w:hAnsi="Arial" w:cs="Arial"/>
                <w:b/>
                <w:bCs/>
              </w:rPr>
            </w:pPr>
            <w:r w:rsidRPr="000848CB">
              <w:rPr>
                <w:rFonts w:ascii="Arial" w:hAnsi="Arial" w:cs="Arial"/>
                <w:b/>
                <w:bCs/>
                <w:sz w:val="22"/>
                <w:szCs w:val="22"/>
              </w:rPr>
              <w:t>LIKOVNA KULTURA I LIKOVNA UMJETNOST</w:t>
            </w:r>
          </w:p>
          <w:p w:rsidR="00303F4A" w:rsidRPr="000848CB" w:rsidRDefault="00303F4A" w:rsidP="00A50FA5">
            <w:pPr>
              <w:autoSpaceDE w:val="0"/>
              <w:autoSpaceDN w:val="0"/>
              <w:adjustRightInd w:val="0"/>
              <w:rPr>
                <w:rFonts w:ascii="Arial" w:hAnsi="Arial" w:cs="Arial"/>
              </w:rPr>
            </w:pPr>
          </w:p>
        </w:tc>
      </w:tr>
      <w:tr w:rsidR="00303F4A" w:rsidRPr="000848CB">
        <w:trPr>
          <w:trHeight w:val="903"/>
        </w:trPr>
        <w:tc>
          <w:tcPr>
            <w:tcW w:w="1668" w:type="dxa"/>
          </w:tcPr>
          <w:p w:rsidR="00303F4A" w:rsidRPr="000848CB" w:rsidRDefault="00303F4A" w:rsidP="00A50FA5">
            <w:pPr>
              <w:autoSpaceDE w:val="0"/>
              <w:autoSpaceDN w:val="0"/>
              <w:adjustRightInd w:val="0"/>
              <w:rPr>
                <w:rFonts w:ascii="Arial" w:hAnsi="Arial" w:cs="Arial"/>
                <w:b/>
                <w:bCs/>
              </w:rPr>
            </w:pPr>
            <w:r w:rsidRPr="000848CB">
              <w:rPr>
                <w:rFonts w:ascii="Arial" w:hAnsi="Arial" w:cs="Arial"/>
                <w:sz w:val="22"/>
                <w:szCs w:val="22"/>
              </w:rPr>
              <w:t xml:space="preserve">Test iz Povijesti umjetnosti </w:t>
            </w:r>
            <w:r w:rsidRPr="000848CB">
              <w:rPr>
                <w:rFonts w:ascii="Arial" w:hAnsi="Arial" w:cs="Arial"/>
                <w:b/>
                <w:bCs/>
                <w:sz w:val="22"/>
                <w:szCs w:val="22"/>
              </w:rPr>
              <w:t>*</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 xml:space="preserve">min. 50% </w:t>
            </w:r>
          </w:p>
        </w:tc>
        <w:tc>
          <w:tcPr>
            <w:tcW w:w="1701" w:type="dxa"/>
          </w:tcPr>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 xml:space="preserve">OCJENA                                               1. STUPNJA  </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 xml:space="preserve">max. 20          </w:t>
            </w:r>
          </w:p>
        </w:tc>
        <w:tc>
          <w:tcPr>
            <w:tcW w:w="1275" w:type="dxa"/>
          </w:tcPr>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 xml:space="preserve">MAPA </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 xml:space="preserve">min. 10 </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max. 20</w:t>
            </w:r>
          </w:p>
        </w:tc>
        <w:tc>
          <w:tcPr>
            <w:tcW w:w="1418" w:type="dxa"/>
          </w:tcPr>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ESEJ</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min. 10</w:t>
            </w:r>
          </w:p>
          <w:p w:rsidR="00303F4A" w:rsidRPr="000848CB" w:rsidRDefault="00303F4A" w:rsidP="00A50FA5">
            <w:pPr>
              <w:autoSpaceDE w:val="0"/>
              <w:autoSpaceDN w:val="0"/>
              <w:adjustRightInd w:val="0"/>
              <w:spacing w:after="200" w:line="276" w:lineRule="auto"/>
              <w:rPr>
                <w:rFonts w:ascii="Arial" w:hAnsi="Arial" w:cs="Arial"/>
              </w:rPr>
            </w:pPr>
            <w:r w:rsidRPr="000848CB">
              <w:rPr>
                <w:rFonts w:ascii="Arial" w:hAnsi="Arial" w:cs="Arial"/>
                <w:sz w:val="22"/>
                <w:szCs w:val="22"/>
              </w:rPr>
              <w:t>max. 20</w:t>
            </w:r>
          </w:p>
        </w:tc>
        <w:tc>
          <w:tcPr>
            <w:tcW w:w="1701" w:type="dxa"/>
          </w:tcPr>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 xml:space="preserve">RAZGOVOR   </w:t>
            </w:r>
          </w:p>
          <w:p w:rsidR="00303F4A" w:rsidRPr="000848CB" w:rsidRDefault="00303F4A" w:rsidP="00E030D8">
            <w:pPr>
              <w:rPr>
                <w:rFonts w:ascii="Arial" w:hAnsi="Arial" w:cs="Arial"/>
              </w:rPr>
            </w:pPr>
            <w:r w:rsidRPr="000848CB">
              <w:rPr>
                <w:rFonts w:ascii="Arial" w:hAnsi="Arial" w:cs="Arial"/>
                <w:sz w:val="22"/>
                <w:szCs w:val="22"/>
              </w:rPr>
              <w:t>min. 20</w:t>
            </w:r>
          </w:p>
          <w:p w:rsidR="00303F4A" w:rsidRPr="000848CB" w:rsidRDefault="00303F4A" w:rsidP="00E030D8">
            <w:pPr>
              <w:autoSpaceDE w:val="0"/>
              <w:autoSpaceDN w:val="0"/>
              <w:adjustRightInd w:val="0"/>
              <w:rPr>
                <w:rFonts w:ascii="Arial" w:hAnsi="Arial" w:cs="Arial"/>
              </w:rPr>
            </w:pPr>
            <w:r w:rsidRPr="000848CB">
              <w:rPr>
                <w:rFonts w:ascii="Arial" w:hAnsi="Arial" w:cs="Arial"/>
                <w:sz w:val="22"/>
                <w:szCs w:val="22"/>
              </w:rPr>
              <w:t>max. 40</w:t>
            </w:r>
          </w:p>
        </w:tc>
        <w:tc>
          <w:tcPr>
            <w:tcW w:w="1525" w:type="dxa"/>
          </w:tcPr>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UKUPNO</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min. 50</w:t>
            </w:r>
          </w:p>
          <w:p w:rsidR="00303F4A" w:rsidRPr="000848CB" w:rsidRDefault="00303F4A" w:rsidP="00A50FA5">
            <w:pPr>
              <w:autoSpaceDE w:val="0"/>
              <w:autoSpaceDN w:val="0"/>
              <w:adjustRightInd w:val="0"/>
              <w:rPr>
                <w:rFonts w:ascii="Arial" w:hAnsi="Arial" w:cs="Arial"/>
              </w:rPr>
            </w:pPr>
            <w:r w:rsidRPr="000848CB">
              <w:rPr>
                <w:rFonts w:ascii="Arial" w:hAnsi="Arial" w:cs="Arial"/>
                <w:sz w:val="22"/>
                <w:szCs w:val="22"/>
              </w:rPr>
              <w:t>max. 100</w:t>
            </w:r>
          </w:p>
        </w:tc>
      </w:tr>
    </w:tbl>
    <w:p w:rsidR="00303F4A" w:rsidRPr="000848CB" w:rsidRDefault="00303F4A" w:rsidP="002A3F64">
      <w:pPr>
        <w:rPr>
          <w:rFonts w:ascii="Arial" w:hAnsi="Arial" w:cs="Arial"/>
          <w:sz w:val="22"/>
          <w:szCs w:val="22"/>
        </w:rPr>
      </w:pPr>
      <w:r w:rsidRPr="000848CB">
        <w:rPr>
          <w:rFonts w:ascii="Arial" w:hAnsi="Arial" w:cs="Arial"/>
          <w:sz w:val="22"/>
          <w:szCs w:val="22"/>
        </w:rPr>
        <w:t xml:space="preserve">* Test iz povijesti umjetnosti (pismeni), eliminacijski je i ne ulazi u ukupan zbir bodova, </w:t>
      </w:r>
    </w:p>
    <w:p w:rsidR="00303F4A" w:rsidRPr="000848CB" w:rsidRDefault="00303F4A" w:rsidP="002A3F64">
      <w:pPr>
        <w:rPr>
          <w:rFonts w:ascii="Arial" w:hAnsi="Arial" w:cs="Arial"/>
          <w:sz w:val="22"/>
          <w:szCs w:val="22"/>
        </w:rPr>
      </w:pPr>
      <w:r w:rsidRPr="000848CB">
        <w:rPr>
          <w:rFonts w:ascii="Arial" w:hAnsi="Arial" w:cs="Arial"/>
          <w:sz w:val="22"/>
          <w:szCs w:val="22"/>
        </w:rPr>
        <w:t>polažu ga svi pristupnici sa srodnih studija. Minimum je 50% točnih odgovora.</w:t>
      </w:r>
    </w:p>
    <w:p w:rsidR="00303F4A" w:rsidRPr="000848CB" w:rsidRDefault="00303F4A" w:rsidP="002A3F64">
      <w:pPr>
        <w:rPr>
          <w:rFonts w:ascii="Arial" w:hAnsi="Arial" w:cs="Arial"/>
          <w:sz w:val="22"/>
          <w:szCs w:val="22"/>
        </w:rPr>
      </w:pPr>
    </w:p>
    <w:p w:rsidR="00303F4A" w:rsidRPr="000848CB" w:rsidRDefault="00303F4A" w:rsidP="002A3F64">
      <w:pPr>
        <w:jc w:val="both"/>
        <w:rPr>
          <w:rFonts w:ascii="Arial" w:hAnsi="Arial" w:cs="Arial"/>
          <w:sz w:val="22"/>
          <w:szCs w:val="22"/>
        </w:rPr>
      </w:pPr>
      <w:r w:rsidRPr="000848CB">
        <w:rPr>
          <w:rFonts w:ascii="Arial" w:hAnsi="Arial" w:cs="Arial"/>
          <w:sz w:val="22"/>
          <w:szCs w:val="22"/>
        </w:rPr>
        <w:t>Uspjeh na ispitu određuje se zbrajanjem bodova u navedenim kategorijama. Na ispitu je moguće postići najviše 100 bodova. Razredbeni prag iznosi 50 bodova.</w:t>
      </w:r>
    </w:p>
    <w:p w:rsidR="00303F4A" w:rsidRPr="000848CB" w:rsidRDefault="00303F4A" w:rsidP="002A3F64">
      <w:pPr>
        <w:jc w:val="both"/>
        <w:rPr>
          <w:rFonts w:ascii="Arial" w:hAnsi="Arial" w:cs="Arial"/>
          <w:sz w:val="22"/>
          <w:szCs w:val="22"/>
        </w:rPr>
      </w:pPr>
    </w:p>
    <w:p w:rsidR="00303F4A" w:rsidRPr="000848CB" w:rsidRDefault="00303F4A" w:rsidP="002A3F64">
      <w:pPr>
        <w:rPr>
          <w:rFonts w:ascii="Arial" w:hAnsi="Arial" w:cs="Arial"/>
          <w:sz w:val="22"/>
          <w:szCs w:val="22"/>
        </w:rPr>
      </w:pPr>
      <w:r w:rsidRPr="000848CB">
        <w:rPr>
          <w:rFonts w:ascii="Arial" w:hAnsi="Arial" w:cs="Arial"/>
          <w:sz w:val="22"/>
          <w:szCs w:val="22"/>
        </w:rPr>
        <w:t>Primljeni kandidati i kandidatkinje dužni su tijekom diplomskog studija položiti kolegije onog profila za koje, nakon uvida u priloženu dokumentaciju ECTS koordinator/predstojnik odsjeka zaključi da su u prethodnom školovanju bili nedovoljno zastupljeni.</w:t>
      </w:r>
    </w:p>
    <w:p w:rsidR="00303F4A" w:rsidRPr="000848CB" w:rsidRDefault="00303F4A" w:rsidP="002A3F64">
      <w:pPr>
        <w:jc w:val="both"/>
        <w:rPr>
          <w:rFonts w:ascii="Arial" w:hAnsi="Arial" w:cs="Arial"/>
          <w:sz w:val="22"/>
          <w:szCs w:val="22"/>
        </w:rPr>
      </w:pPr>
    </w:p>
    <w:p w:rsidR="00303F4A" w:rsidRPr="000848CB" w:rsidRDefault="00303F4A" w:rsidP="002A3F64">
      <w:pPr>
        <w:rPr>
          <w:rFonts w:ascii="Arial" w:hAnsi="Arial" w:cs="Arial"/>
          <w:sz w:val="22"/>
          <w:szCs w:val="22"/>
        </w:rPr>
      </w:pPr>
    </w:p>
    <w:sectPr w:rsidR="00303F4A" w:rsidRPr="000848CB" w:rsidSect="00250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2A3F64"/>
    <w:rsid w:val="000468CF"/>
    <w:rsid w:val="000848CB"/>
    <w:rsid w:val="00091225"/>
    <w:rsid w:val="000C52D2"/>
    <w:rsid w:val="0025057D"/>
    <w:rsid w:val="0029690F"/>
    <w:rsid w:val="002A3F64"/>
    <w:rsid w:val="002D2D06"/>
    <w:rsid w:val="00303F4A"/>
    <w:rsid w:val="00320081"/>
    <w:rsid w:val="0038051B"/>
    <w:rsid w:val="003C39A8"/>
    <w:rsid w:val="003D6342"/>
    <w:rsid w:val="004A7F7E"/>
    <w:rsid w:val="004D2D02"/>
    <w:rsid w:val="00514DDB"/>
    <w:rsid w:val="00541A83"/>
    <w:rsid w:val="0058225A"/>
    <w:rsid w:val="005E227F"/>
    <w:rsid w:val="005E61AE"/>
    <w:rsid w:val="006569CF"/>
    <w:rsid w:val="006749EE"/>
    <w:rsid w:val="00715D0C"/>
    <w:rsid w:val="007A68F6"/>
    <w:rsid w:val="008842E1"/>
    <w:rsid w:val="008B5E62"/>
    <w:rsid w:val="00931ABB"/>
    <w:rsid w:val="00A50FA5"/>
    <w:rsid w:val="00A874FC"/>
    <w:rsid w:val="00B52F63"/>
    <w:rsid w:val="00BD63DA"/>
    <w:rsid w:val="00BF6569"/>
    <w:rsid w:val="00C13467"/>
    <w:rsid w:val="00C638BA"/>
    <w:rsid w:val="00CA556E"/>
    <w:rsid w:val="00CB2312"/>
    <w:rsid w:val="00CB6896"/>
    <w:rsid w:val="00D12744"/>
    <w:rsid w:val="00D91734"/>
    <w:rsid w:val="00E030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64"/>
    <w:rPr>
      <w:rFonts w:ascii="Times New Roman" w:eastAsia="Times New Roman" w:hAnsi="Times New Roman"/>
      <w:sz w:val="24"/>
      <w:szCs w:val="24"/>
    </w:rPr>
  </w:style>
  <w:style w:type="paragraph" w:styleId="Heading3">
    <w:name w:val="heading 3"/>
    <w:basedOn w:val="Normal"/>
    <w:link w:val="Heading3Char"/>
    <w:uiPriority w:val="99"/>
    <w:qFormat/>
    <w:rsid w:val="0029690F"/>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9690F"/>
    <w:rPr>
      <w:rFonts w:ascii="Times New Roman" w:hAnsi="Times New Roman" w:cs="Times New Roman"/>
      <w:b/>
      <w:bCs/>
      <w:sz w:val="27"/>
      <w:szCs w:val="27"/>
      <w:lang w:val="en-US"/>
    </w:rPr>
  </w:style>
  <w:style w:type="paragraph" w:customStyle="1" w:styleId="Default">
    <w:name w:val="Default"/>
    <w:uiPriority w:val="99"/>
    <w:rsid w:val="002A3F64"/>
    <w:pPr>
      <w:autoSpaceDE w:val="0"/>
      <w:autoSpaceDN w:val="0"/>
      <w:adjustRightInd w:val="0"/>
    </w:pPr>
    <w:rPr>
      <w:rFonts w:ascii="Arial" w:eastAsia="Times New Roman" w:hAnsi="Arial" w:cs="Arial"/>
      <w:color w:val="000000"/>
      <w:sz w:val="24"/>
      <w:szCs w:val="24"/>
    </w:rPr>
  </w:style>
  <w:style w:type="paragraph" w:customStyle="1" w:styleId="Tekstprvipasus">
    <w:name w:val="Tekst: prvi pasus"/>
    <w:basedOn w:val="Normal"/>
    <w:next w:val="Normal"/>
    <w:uiPriority w:val="99"/>
    <w:rsid w:val="002A3F64"/>
    <w:pPr>
      <w:spacing w:after="240"/>
      <w:ind w:firstLine="720"/>
      <w:jc w:val="both"/>
    </w:pPr>
    <w:rPr>
      <w:spacing w:val="-5"/>
      <w:lang w:eastAsia="en-US"/>
    </w:rPr>
  </w:style>
  <w:style w:type="character" w:styleId="Hyperlink">
    <w:name w:val="Hyperlink"/>
    <w:basedOn w:val="DefaultParagraphFont"/>
    <w:uiPriority w:val="99"/>
    <w:semiHidden/>
    <w:rsid w:val="0029690F"/>
    <w:rPr>
      <w:color w:val="0000FF"/>
      <w:u w:val="single"/>
    </w:rPr>
  </w:style>
</w:styles>
</file>

<file path=word/webSettings.xml><?xml version="1.0" encoding="utf-8"?>
<w:webSettings xmlns:r="http://schemas.openxmlformats.org/officeDocument/2006/relationships" xmlns:w="http://schemas.openxmlformats.org/wordprocessingml/2006/main">
  <w:divs>
    <w:div w:id="841820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ri.uniri.hr/hr/odsjeci-i-katedre/povijest-umjetnosti/221-povijestumjetnos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korisnik</cp:lastModifiedBy>
  <cp:revision>2</cp:revision>
  <dcterms:created xsi:type="dcterms:W3CDTF">2014-11-26T16:49:00Z</dcterms:created>
  <dcterms:modified xsi:type="dcterms:W3CDTF">2014-11-26T16:49:00Z</dcterms:modified>
</cp:coreProperties>
</file>